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396" w:rsidRPr="001A2396" w:rsidRDefault="001A2396" w:rsidP="001A2396">
      <w:pPr>
        <w:autoSpaceDE w:val="0"/>
        <w:autoSpaceDN w:val="0"/>
        <w:adjustRightInd w:val="0"/>
        <w:spacing w:before="100" w:after="100" w:line="240" w:lineRule="auto"/>
        <w:jc w:val="center"/>
        <w:rPr>
          <w:rFonts w:cs="Times New Roman"/>
          <w:b/>
          <w:szCs w:val="24"/>
        </w:rPr>
      </w:pPr>
      <w:r w:rsidRPr="001A2396">
        <w:rPr>
          <w:rFonts w:cs="Times New Roman"/>
          <w:b/>
          <w:szCs w:val="24"/>
        </w:rPr>
        <w:t>OFICIO Nº 019645</w:t>
      </w:r>
    </w:p>
    <w:p w:rsidR="001A2396" w:rsidRPr="001A2396" w:rsidRDefault="001A2396" w:rsidP="001A2396">
      <w:pPr>
        <w:autoSpaceDE w:val="0"/>
        <w:autoSpaceDN w:val="0"/>
        <w:adjustRightInd w:val="0"/>
        <w:spacing w:before="100" w:after="100" w:line="240" w:lineRule="auto"/>
        <w:jc w:val="center"/>
        <w:rPr>
          <w:rFonts w:cs="Times New Roman"/>
          <w:b/>
          <w:szCs w:val="24"/>
        </w:rPr>
      </w:pPr>
      <w:r w:rsidRPr="001A2396">
        <w:rPr>
          <w:rFonts w:cs="Times New Roman"/>
          <w:b/>
          <w:szCs w:val="24"/>
        </w:rPr>
        <w:t>26-07-2016</w:t>
      </w:r>
    </w:p>
    <w:p w:rsidR="001A2396" w:rsidRPr="001A2396" w:rsidRDefault="001A2396" w:rsidP="001A2396">
      <w:pPr>
        <w:autoSpaceDE w:val="0"/>
        <w:autoSpaceDN w:val="0"/>
        <w:adjustRightInd w:val="0"/>
        <w:spacing w:before="100" w:after="100" w:line="240" w:lineRule="auto"/>
        <w:jc w:val="center"/>
        <w:rPr>
          <w:rFonts w:cs="Times New Roman"/>
          <w:b/>
          <w:szCs w:val="24"/>
        </w:rPr>
      </w:pPr>
      <w:r w:rsidRPr="001A2396">
        <w:rPr>
          <w:rFonts w:cs="Times New Roman"/>
          <w:b/>
          <w:szCs w:val="24"/>
        </w:rPr>
        <w:t>DIAN</w:t>
      </w:r>
    </w:p>
    <w:p w:rsidR="001A2396" w:rsidRDefault="001A2396" w:rsidP="001A2396">
      <w:pPr>
        <w:autoSpaceDE w:val="0"/>
        <w:autoSpaceDN w:val="0"/>
        <w:adjustRightInd w:val="0"/>
        <w:spacing w:before="100" w:after="100" w:line="240" w:lineRule="auto"/>
        <w:rPr>
          <w:rFonts w:cs="Times New Roman"/>
          <w:szCs w:val="24"/>
        </w:rPr>
      </w:pPr>
    </w:p>
    <w:p w:rsidR="001A2396" w:rsidRDefault="001A2396" w:rsidP="001A2396">
      <w:pPr>
        <w:autoSpaceDE w:val="0"/>
        <w:autoSpaceDN w:val="0"/>
        <w:adjustRightInd w:val="0"/>
        <w:spacing w:before="100" w:after="100" w:line="240" w:lineRule="auto"/>
        <w:rPr>
          <w:rFonts w:cs="Times New Roman"/>
          <w:szCs w:val="24"/>
        </w:rPr>
      </w:pPr>
    </w:p>
    <w:p w:rsidR="001A2396" w:rsidRPr="001A2396" w:rsidRDefault="001A2396" w:rsidP="001A2396">
      <w:pPr>
        <w:autoSpaceDE w:val="0"/>
        <w:autoSpaceDN w:val="0"/>
        <w:adjustRightInd w:val="0"/>
        <w:spacing w:before="100" w:after="100" w:line="240" w:lineRule="auto"/>
        <w:rPr>
          <w:rFonts w:cs="Times New Roman"/>
          <w:szCs w:val="24"/>
        </w:rPr>
      </w:pPr>
      <w:bookmarkStart w:id="0" w:name="_GoBack"/>
      <w:bookmarkEnd w:id="0"/>
      <w:r w:rsidRPr="001A2396">
        <w:rPr>
          <w:rFonts w:cs="Times New Roman"/>
          <w:szCs w:val="24"/>
        </w:rPr>
        <w:t>Dirección de Gestión Jurídica</w:t>
      </w:r>
    </w:p>
    <w:p w:rsidR="001A2396" w:rsidRPr="001A2396" w:rsidRDefault="001A2396" w:rsidP="001A2396">
      <w:pPr>
        <w:autoSpaceDE w:val="0"/>
        <w:autoSpaceDN w:val="0"/>
        <w:adjustRightInd w:val="0"/>
        <w:spacing w:before="100" w:after="100" w:line="240" w:lineRule="auto"/>
        <w:rPr>
          <w:rFonts w:cs="Times New Roman"/>
          <w:szCs w:val="24"/>
        </w:rPr>
      </w:pPr>
      <w:r w:rsidRPr="001A2396">
        <w:rPr>
          <w:rFonts w:cs="Times New Roman"/>
          <w:szCs w:val="24"/>
        </w:rPr>
        <w:t>100202208- 0736</w:t>
      </w:r>
    </w:p>
    <w:p w:rsidR="001A2396" w:rsidRPr="001A2396" w:rsidRDefault="001A2396" w:rsidP="001A2396">
      <w:pPr>
        <w:autoSpaceDE w:val="0"/>
        <w:autoSpaceDN w:val="0"/>
        <w:adjustRightInd w:val="0"/>
        <w:spacing w:before="100" w:after="100" w:line="240" w:lineRule="auto"/>
        <w:rPr>
          <w:rFonts w:cs="Times New Roman"/>
          <w:szCs w:val="24"/>
        </w:rPr>
      </w:pPr>
      <w:r w:rsidRPr="001A2396">
        <w:rPr>
          <w:rFonts w:cs="Times New Roman"/>
          <w:szCs w:val="24"/>
        </w:rPr>
        <w:t>Bogotá D.C.</w:t>
      </w:r>
    </w:p>
    <w:p w:rsidR="001A2396" w:rsidRDefault="001A2396" w:rsidP="001A2396">
      <w:pPr>
        <w:autoSpaceDE w:val="0"/>
        <w:autoSpaceDN w:val="0"/>
        <w:adjustRightInd w:val="0"/>
        <w:spacing w:before="100" w:after="100" w:line="240" w:lineRule="auto"/>
        <w:rPr>
          <w:rFonts w:cs="Times New Roman"/>
          <w:szCs w:val="24"/>
        </w:rPr>
      </w:pPr>
    </w:p>
    <w:p w:rsidR="001A2396" w:rsidRPr="001A2396" w:rsidRDefault="001A2396" w:rsidP="001A2396">
      <w:pPr>
        <w:autoSpaceDE w:val="0"/>
        <w:autoSpaceDN w:val="0"/>
        <w:adjustRightInd w:val="0"/>
        <w:spacing w:before="100" w:after="100" w:line="240" w:lineRule="auto"/>
        <w:rPr>
          <w:rFonts w:cs="Times New Roman"/>
          <w:szCs w:val="24"/>
        </w:rPr>
      </w:pPr>
      <w:r w:rsidRPr="001A2396">
        <w:rPr>
          <w:rFonts w:cs="Times New Roman"/>
          <w:szCs w:val="24"/>
        </w:rPr>
        <w:t>Señora</w:t>
      </w:r>
    </w:p>
    <w:p w:rsidR="001A2396" w:rsidRPr="001A2396" w:rsidRDefault="001A2396" w:rsidP="001A2396">
      <w:pPr>
        <w:autoSpaceDE w:val="0"/>
        <w:autoSpaceDN w:val="0"/>
        <w:adjustRightInd w:val="0"/>
        <w:spacing w:before="100" w:after="100" w:line="240" w:lineRule="auto"/>
        <w:rPr>
          <w:rFonts w:cs="Times New Roman"/>
          <w:szCs w:val="24"/>
        </w:rPr>
      </w:pPr>
      <w:r w:rsidRPr="001A2396">
        <w:rPr>
          <w:rFonts w:cs="Times New Roman"/>
          <w:b/>
          <w:bCs/>
          <w:szCs w:val="24"/>
        </w:rPr>
        <w:t>MERCEDES CASTIBLANCO ESPINOSA</w:t>
      </w:r>
    </w:p>
    <w:p w:rsidR="001A2396" w:rsidRPr="001A2396" w:rsidRDefault="001A2396" w:rsidP="001A2396">
      <w:pPr>
        <w:autoSpaceDE w:val="0"/>
        <w:autoSpaceDN w:val="0"/>
        <w:adjustRightInd w:val="0"/>
        <w:spacing w:before="100" w:after="100" w:line="240" w:lineRule="auto"/>
        <w:rPr>
          <w:rFonts w:cs="Times New Roman"/>
          <w:szCs w:val="24"/>
        </w:rPr>
      </w:pPr>
      <w:hyperlink r:id="rId4" w:history="1">
        <w:proofErr w:type="spellStart"/>
        <w:r w:rsidRPr="001A2396">
          <w:rPr>
            <w:rFonts w:cs="Times New Roman"/>
            <w:color w:val="0000FF"/>
            <w:szCs w:val="24"/>
            <w:u w:val="single"/>
          </w:rPr>
          <w:t>mercedes.castiblanco@gmail.com</w:t>
        </w:r>
        <w:proofErr w:type="spellEnd"/>
      </w:hyperlink>
    </w:p>
    <w:p w:rsidR="001A2396" w:rsidRPr="001A2396" w:rsidRDefault="001A2396" w:rsidP="001A2396">
      <w:pPr>
        <w:autoSpaceDE w:val="0"/>
        <w:autoSpaceDN w:val="0"/>
        <w:adjustRightInd w:val="0"/>
        <w:spacing w:before="100" w:after="100" w:line="240" w:lineRule="auto"/>
        <w:rPr>
          <w:rFonts w:cs="Times New Roman"/>
          <w:szCs w:val="24"/>
        </w:rPr>
      </w:pPr>
      <w:r w:rsidRPr="001A2396">
        <w:rPr>
          <w:rFonts w:cs="Times New Roman"/>
          <w:szCs w:val="24"/>
        </w:rPr>
        <w:t xml:space="preserve">Carrera 8 H No. 166-60 </w:t>
      </w:r>
      <w:proofErr w:type="spellStart"/>
      <w:r w:rsidRPr="001A2396">
        <w:rPr>
          <w:rFonts w:cs="Times New Roman"/>
          <w:szCs w:val="24"/>
        </w:rPr>
        <w:t>Int</w:t>
      </w:r>
      <w:proofErr w:type="spellEnd"/>
      <w:r w:rsidRPr="001A2396">
        <w:rPr>
          <w:rFonts w:cs="Times New Roman"/>
          <w:szCs w:val="24"/>
        </w:rPr>
        <w:t>. 2 Apto 608</w:t>
      </w:r>
    </w:p>
    <w:p w:rsidR="001A2396" w:rsidRPr="001A2396" w:rsidRDefault="001A2396" w:rsidP="001A2396">
      <w:pPr>
        <w:autoSpaceDE w:val="0"/>
        <w:autoSpaceDN w:val="0"/>
        <w:adjustRightInd w:val="0"/>
        <w:spacing w:before="100" w:after="100" w:line="240" w:lineRule="auto"/>
        <w:rPr>
          <w:rFonts w:cs="Times New Roman"/>
          <w:szCs w:val="24"/>
        </w:rPr>
      </w:pPr>
      <w:r w:rsidRPr="001A2396">
        <w:rPr>
          <w:rFonts w:cs="Times New Roman"/>
          <w:szCs w:val="24"/>
        </w:rPr>
        <w:t>Bogotá D.C.</w:t>
      </w:r>
    </w:p>
    <w:p w:rsidR="001A2396" w:rsidRDefault="001A2396" w:rsidP="001A2396">
      <w:pPr>
        <w:autoSpaceDE w:val="0"/>
        <w:autoSpaceDN w:val="0"/>
        <w:adjustRightInd w:val="0"/>
        <w:spacing w:before="100" w:after="100" w:line="240" w:lineRule="auto"/>
        <w:rPr>
          <w:rFonts w:cs="Times New Roman"/>
          <w:szCs w:val="24"/>
        </w:rPr>
      </w:pPr>
    </w:p>
    <w:p w:rsidR="001A2396" w:rsidRPr="001A2396" w:rsidRDefault="001A2396" w:rsidP="001A2396">
      <w:pPr>
        <w:autoSpaceDE w:val="0"/>
        <w:autoSpaceDN w:val="0"/>
        <w:adjustRightInd w:val="0"/>
        <w:spacing w:before="100" w:after="100" w:line="240" w:lineRule="auto"/>
        <w:rPr>
          <w:rFonts w:cs="Times New Roman"/>
          <w:szCs w:val="24"/>
        </w:rPr>
      </w:pPr>
      <w:proofErr w:type="spellStart"/>
      <w:r w:rsidRPr="001A2396">
        <w:rPr>
          <w:rFonts w:cs="Times New Roman"/>
          <w:szCs w:val="24"/>
        </w:rPr>
        <w:t>Ref</w:t>
      </w:r>
      <w:proofErr w:type="spellEnd"/>
      <w:r w:rsidRPr="001A2396">
        <w:rPr>
          <w:rFonts w:cs="Times New Roman"/>
          <w:szCs w:val="24"/>
        </w:rPr>
        <w:t>: Radicado No. 015167-A del 24/06/2016</w:t>
      </w:r>
    </w:p>
    <w:p w:rsidR="001A2396" w:rsidRDefault="001A2396" w:rsidP="001A2396">
      <w:pPr>
        <w:autoSpaceDE w:val="0"/>
        <w:autoSpaceDN w:val="0"/>
        <w:adjustRightInd w:val="0"/>
        <w:spacing w:before="100" w:after="100" w:line="240" w:lineRule="auto"/>
        <w:rPr>
          <w:rFonts w:cs="Times New Roman"/>
          <w:szCs w:val="24"/>
        </w:rPr>
      </w:pPr>
    </w:p>
    <w:p w:rsidR="001A2396" w:rsidRPr="001A2396" w:rsidRDefault="001A2396" w:rsidP="001A2396">
      <w:pPr>
        <w:autoSpaceDE w:val="0"/>
        <w:autoSpaceDN w:val="0"/>
        <w:adjustRightInd w:val="0"/>
        <w:spacing w:before="100" w:after="100" w:line="240" w:lineRule="auto"/>
        <w:rPr>
          <w:rFonts w:cs="Times New Roman"/>
          <w:szCs w:val="24"/>
        </w:rPr>
      </w:pPr>
      <w:r w:rsidRPr="001A2396">
        <w:rPr>
          <w:rFonts w:cs="Times New Roman"/>
          <w:szCs w:val="24"/>
        </w:rPr>
        <w:t>Tema Procedimiento Tributario</w:t>
      </w:r>
    </w:p>
    <w:p w:rsidR="001A2396" w:rsidRPr="001A2396" w:rsidRDefault="001A2396" w:rsidP="001A2396">
      <w:pPr>
        <w:autoSpaceDE w:val="0"/>
        <w:autoSpaceDN w:val="0"/>
        <w:adjustRightInd w:val="0"/>
        <w:spacing w:before="100" w:after="100" w:line="240" w:lineRule="auto"/>
        <w:rPr>
          <w:rFonts w:cs="Times New Roman"/>
          <w:szCs w:val="24"/>
        </w:rPr>
      </w:pPr>
      <w:r w:rsidRPr="001A2396">
        <w:rPr>
          <w:rFonts w:cs="Times New Roman"/>
          <w:szCs w:val="24"/>
        </w:rPr>
        <w:t xml:space="preserve">Descriptores Obligados a Presentar </w:t>
      </w:r>
      <w:proofErr w:type="spellStart"/>
      <w:r w:rsidRPr="001A2396">
        <w:rPr>
          <w:rFonts w:cs="Times New Roman"/>
          <w:szCs w:val="24"/>
        </w:rPr>
        <w:t>Informacion</w:t>
      </w:r>
      <w:proofErr w:type="spellEnd"/>
      <w:r w:rsidRPr="001A2396">
        <w:rPr>
          <w:rFonts w:cs="Times New Roman"/>
          <w:szCs w:val="24"/>
        </w:rPr>
        <w:t xml:space="preserve"> FATCA</w:t>
      </w:r>
    </w:p>
    <w:p w:rsidR="001A2396" w:rsidRPr="001A2396" w:rsidRDefault="001A2396" w:rsidP="001A2396">
      <w:pPr>
        <w:autoSpaceDE w:val="0"/>
        <w:autoSpaceDN w:val="0"/>
        <w:adjustRightInd w:val="0"/>
        <w:spacing w:before="100" w:after="100" w:line="240" w:lineRule="auto"/>
        <w:rPr>
          <w:rFonts w:cs="Times New Roman"/>
          <w:szCs w:val="24"/>
        </w:rPr>
      </w:pPr>
      <w:r w:rsidRPr="001A2396">
        <w:rPr>
          <w:rFonts w:cs="Times New Roman"/>
          <w:szCs w:val="24"/>
        </w:rPr>
        <w:t>Fuentes formales Resolución 060 de 2015</w:t>
      </w:r>
    </w:p>
    <w:p w:rsidR="001A2396" w:rsidRDefault="001A2396" w:rsidP="001A2396">
      <w:pPr>
        <w:autoSpaceDE w:val="0"/>
        <w:autoSpaceDN w:val="0"/>
        <w:adjustRightInd w:val="0"/>
        <w:spacing w:before="100" w:after="100" w:line="240" w:lineRule="auto"/>
        <w:rPr>
          <w:rFonts w:cs="Times New Roman"/>
          <w:szCs w:val="24"/>
        </w:rPr>
      </w:pPr>
    </w:p>
    <w:p w:rsidR="001A2396" w:rsidRPr="001A2396" w:rsidRDefault="001A2396" w:rsidP="001A2396">
      <w:pPr>
        <w:autoSpaceDE w:val="0"/>
        <w:autoSpaceDN w:val="0"/>
        <w:adjustRightInd w:val="0"/>
        <w:spacing w:before="100" w:after="100" w:line="240" w:lineRule="auto"/>
        <w:rPr>
          <w:rFonts w:cs="Times New Roman"/>
          <w:szCs w:val="24"/>
        </w:rPr>
      </w:pPr>
      <w:r w:rsidRPr="001A2396">
        <w:rPr>
          <w:rFonts w:cs="Times New Roman"/>
          <w:szCs w:val="24"/>
        </w:rPr>
        <w:t>Cordial saludo, Señora Castiblanco:</w:t>
      </w:r>
    </w:p>
    <w:p w:rsidR="001A2396" w:rsidRDefault="001A2396" w:rsidP="001A2396">
      <w:pPr>
        <w:autoSpaceDE w:val="0"/>
        <w:autoSpaceDN w:val="0"/>
        <w:adjustRightInd w:val="0"/>
        <w:spacing w:before="100" w:after="100" w:line="240" w:lineRule="auto"/>
        <w:rPr>
          <w:rFonts w:cs="Times New Roman"/>
          <w:szCs w:val="24"/>
        </w:rPr>
      </w:pPr>
    </w:p>
    <w:p w:rsidR="001A2396" w:rsidRPr="001A2396" w:rsidRDefault="001A2396" w:rsidP="001A2396">
      <w:pPr>
        <w:autoSpaceDE w:val="0"/>
        <w:autoSpaceDN w:val="0"/>
        <w:adjustRightInd w:val="0"/>
        <w:spacing w:before="100" w:after="100" w:line="240" w:lineRule="auto"/>
        <w:rPr>
          <w:rFonts w:cs="Times New Roman"/>
          <w:szCs w:val="24"/>
        </w:rPr>
      </w:pPr>
      <w:r w:rsidRPr="001A2396">
        <w:rPr>
          <w:rFonts w:cs="Times New Roman"/>
          <w:szCs w:val="24"/>
        </w:rPr>
        <w:t>De conformidad con el artículo 19 del Decreto 4048 de 2008 es función de esta Subdirección absolver las consultas escritas que se formulen sobre la interpretación y aplicación de las normas tributarias de carácter nacional, aduaneras y cambiarias en lo de competencia de la Entidad.</w:t>
      </w:r>
    </w:p>
    <w:p w:rsidR="001A2396" w:rsidRPr="001A2396" w:rsidRDefault="001A2396" w:rsidP="001A2396">
      <w:pPr>
        <w:autoSpaceDE w:val="0"/>
        <w:autoSpaceDN w:val="0"/>
        <w:adjustRightInd w:val="0"/>
        <w:spacing w:before="100" w:after="100" w:line="240" w:lineRule="auto"/>
        <w:rPr>
          <w:rFonts w:cs="Times New Roman"/>
          <w:szCs w:val="24"/>
        </w:rPr>
      </w:pPr>
      <w:r w:rsidRPr="001A2396">
        <w:rPr>
          <w:rFonts w:cs="Times New Roman"/>
          <w:szCs w:val="24"/>
        </w:rPr>
        <w:t>En el radicado de la referencia, se plantean los siguientes cuestionamientos que se responderán de manera consecuente:</w:t>
      </w:r>
    </w:p>
    <w:p w:rsidR="001A2396" w:rsidRDefault="001A2396" w:rsidP="001A2396">
      <w:pPr>
        <w:autoSpaceDE w:val="0"/>
        <w:autoSpaceDN w:val="0"/>
        <w:adjustRightInd w:val="0"/>
        <w:spacing w:before="100" w:after="100" w:line="240" w:lineRule="auto"/>
        <w:rPr>
          <w:rFonts w:cs="Times New Roman"/>
          <w:szCs w:val="24"/>
        </w:rPr>
      </w:pPr>
    </w:p>
    <w:p w:rsidR="001A2396" w:rsidRPr="001A2396" w:rsidRDefault="001A2396" w:rsidP="001A2396">
      <w:pPr>
        <w:autoSpaceDE w:val="0"/>
        <w:autoSpaceDN w:val="0"/>
        <w:adjustRightInd w:val="0"/>
        <w:spacing w:before="100" w:after="100" w:line="240" w:lineRule="auto"/>
        <w:rPr>
          <w:rFonts w:cs="Times New Roman"/>
          <w:szCs w:val="24"/>
        </w:rPr>
      </w:pPr>
      <w:r w:rsidRPr="001A2396">
        <w:rPr>
          <w:rFonts w:cs="Times New Roman"/>
          <w:szCs w:val="24"/>
        </w:rPr>
        <w:t xml:space="preserve">1. En los términos del literal g) del artículo 4.1 de la Resolución 060 de 2015, </w:t>
      </w:r>
      <w:r w:rsidRPr="001A2396">
        <w:rPr>
          <w:rFonts w:cs="Times New Roman"/>
          <w:i/>
          <w:iCs/>
          <w:szCs w:val="24"/>
        </w:rPr>
        <w:t xml:space="preserve">“el monto bruto total pagado o acreditado al </w:t>
      </w:r>
      <w:proofErr w:type="gramStart"/>
      <w:r w:rsidRPr="001A2396">
        <w:rPr>
          <w:rFonts w:cs="Times New Roman"/>
          <w:i/>
          <w:iCs/>
          <w:szCs w:val="24"/>
        </w:rPr>
        <w:t>cuentahabiente</w:t>
      </w:r>
      <w:r w:rsidRPr="001A2396">
        <w:rPr>
          <w:rFonts w:cs="Times New Roman"/>
          <w:szCs w:val="24"/>
        </w:rPr>
        <w:t xml:space="preserve"> ”</w:t>
      </w:r>
      <w:proofErr w:type="gramEnd"/>
      <w:r w:rsidRPr="001A2396">
        <w:rPr>
          <w:rFonts w:cs="Times New Roman"/>
          <w:szCs w:val="24"/>
        </w:rPr>
        <w:t xml:space="preserve"> ¿la palabra “acreditado” se refiere al monto efectivamente pagado o al monto abonado en cuenta? </w:t>
      </w:r>
      <w:r w:rsidRPr="001A2396">
        <w:rPr>
          <w:rFonts w:cs="Times New Roman"/>
          <w:i/>
          <w:iCs/>
          <w:szCs w:val="24"/>
        </w:rPr>
        <w:t>(sic)</w:t>
      </w:r>
    </w:p>
    <w:p w:rsidR="001A2396" w:rsidRDefault="001A2396" w:rsidP="001A2396">
      <w:pPr>
        <w:autoSpaceDE w:val="0"/>
        <w:autoSpaceDN w:val="0"/>
        <w:adjustRightInd w:val="0"/>
        <w:spacing w:before="100" w:after="100" w:line="240" w:lineRule="auto"/>
        <w:rPr>
          <w:rFonts w:cs="Times New Roman"/>
          <w:szCs w:val="24"/>
        </w:rPr>
      </w:pPr>
    </w:p>
    <w:p w:rsidR="001A2396" w:rsidRPr="001A2396" w:rsidRDefault="001A2396" w:rsidP="001A2396">
      <w:pPr>
        <w:autoSpaceDE w:val="0"/>
        <w:autoSpaceDN w:val="0"/>
        <w:adjustRightInd w:val="0"/>
        <w:spacing w:before="100" w:after="100" w:line="240" w:lineRule="auto"/>
        <w:rPr>
          <w:rFonts w:cs="Times New Roman"/>
          <w:szCs w:val="24"/>
        </w:rPr>
      </w:pPr>
      <w:r w:rsidRPr="001A2396">
        <w:rPr>
          <w:rFonts w:cs="Times New Roman"/>
          <w:szCs w:val="24"/>
        </w:rPr>
        <w:t xml:space="preserve">Sobre el particular, advirtiendo una sana hermenéutica jurídica que exige en primer orden, acudir a la interpretación gramatical de las normas, tal y como lo prevé el artículo 27 del Código Civil - </w:t>
      </w:r>
      <w:r w:rsidRPr="001A2396">
        <w:rPr>
          <w:rFonts w:cs="Times New Roman"/>
          <w:i/>
          <w:iCs/>
          <w:szCs w:val="24"/>
        </w:rPr>
        <w:t>“Cuando el sentido de la ley sea claro, no se desatenderá su tenor literal a pretexto de consultar su espíritu”</w:t>
      </w:r>
      <w:r w:rsidRPr="001A2396">
        <w:rPr>
          <w:rFonts w:cs="Times New Roman"/>
          <w:szCs w:val="24"/>
        </w:rPr>
        <w:t xml:space="preserve"> - y aunado a la definición que trae la Real Academia Española (RAE), que define </w:t>
      </w:r>
      <w:r w:rsidRPr="001A2396">
        <w:rPr>
          <w:rFonts w:cs="Times New Roman"/>
          <w:szCs w:val="24"/>
          <w:u w:val="single"/>
        </w:rPr>
        <w:t>acreditar</w:t>
      </w:r>
      <w:r w:rsidRPr="001A2396">
        <w:rPr>
          <w:rFonts w:cs="Times New Roman"/>
          <w:szCs w:val="24"/>
        </w:rPr>
        <w:t xml:space="preserve">, como: “6. </w:t>
      </w:r>
      <w:proofErr w:type="spellStart"/>
      <w:r w:rsidRPr="001A2396">
        <w:rPr>
          <w:rFonts w:cs="Times New Roman"/>
          <w:szCs w:val="24"/>
        </w:rPr>
        <w:t>tr</w:t>
      </w:r>
      <w:proofErr w:type="spellEnd"/>
      <w:r w:rsidRPr="001A2396">
        <w:rPr>
          <w:rFonts w:cs="Times New Roman"/>
          <w:szCs w:val="24"/>
        </w:rPr>
        <w:t xml:space="preserve">. Com. </w:t>
      </w:r>
      <w:proofErr w:type="gramStart"/>
      <w:r w:rsidRPr="001A2396">
        <w:rPr>
          <w:rFonts w:cs="Times New Roman"/>
          <w:szCs w:val="24"/>
        </w:rPr>
        <w:t>abonar</w:t>
      </w:r>
      <w:proofErr w:type="gramEnd"/>
      <w:r w:rsidRPr="001A2396">
        <w:rPr>
          <w:rFonts w:cs="Times New Roman"/>
          <w:szCs w:val="24"/>
        </w:rPr>
        <w:t xml:space="preserve"> (II asentar una partida en el haber)” y </w:t>
      </w:r>
      <w:r w:rsidRPr="001A2396">
        <w:rPr>
          <w:rFonts w:cs="Times New Roman"/>
          <w:szCs w:val="24"/>
          <w:u w:val="single"/>
        </w:rPr>
        <w:t>abonar</w:t>
      </w:r>
      <w:r w:rsidRPr="001A2396">
        <w:rPr>
          <w:rFonts w:cs="Times New Roman"/>
          <w:szCs w:val="24"/>
        </w:rPr>
        <w:t xml:space="preserve">, como: “5. </w:t>
      </w:r>
      <w:proofErr w:type="spellStart"/>
      <w:r w:rsidRPr="001A2396">
        <w:rPr>
          <w:rFonts w:cs="Times New Roman"/>
          <w:szCs w:val="24"/>
        </w:rPr>
        <w:t>tr</w:t>
      </w:r>
      <w:proofErr w:type="spellEnd"/>
      <w:r w:rsidRPr="001A2396">
        <w:rPr>
          <w:rFonts w:cs="Times New Roman"/>
          <w:szCs w:val="24"/>
        </w:rPr>
        <w:t>. Dar una cantidad de dinero en concepto de pago por algo”.</w:t>
      </w:r>
    </w:p>
    <w:p w:rsidR="001A2396" w:rsidRPr="001A2396" w:rsidRDefault="001A2396" w:rsidP="001A2396">
      <w:pPr>
        <w:autoSpaceDE w:val="0"/>
        <w:autoSpaceDN w:val="0"/>
        <w:adjustRightInd w:val="0"/>
        <w:spacing w:before="100" w:after="100" w:line="240" w:lineRule="auto"/>
        <w:rPr>
          <w:rFonts w:cs="Times New Roman"/>
          <w:szCs w:val="24"/>
        </w:rPr>
      </w:pPr>
      <w:r w:rsidRPr="001A2396">
        <w:rPr>
          <w:rFonts w:cs="Times New Roman"/>
          <w:szCs w:val="24"/>
        </w:rPr>
        <w:lastRenderedPageBreak/>
        <w:t>Significa lo anterior, que la palabra “acreditado” no debe tener una definición distinta a ser entendida como abono en cuenta.</w:t>
      </w:r>
    </w:p>
    <w:p w:rsidR="001A2396" w:rsidRDefault="001A2396" w:rsidP="001A2396">
      <w:pPr>
        <w:autoSpaceDE w:val="0"/>
        <w:autoSpaceDN w:val="0"/>
        <w:adjustRightInd w:val="0"/>
        <w:spacing w:before="100" w:after="100" w:line="240" w:lineRule="auto"/>
        <w:rPr>
          <w:rFonts w:cs="Times New Roman"/>
          <w:szCs w:val="24"/>
        </w:rPr>
      </w:pPr>
    </w:p>
    <w:p w:rsidR="001A2396" w:rsidRPr="001A2396" w:rsidRDefault="001A2396" w:rsidP="001A2396">
      <w:pPr>
        <w:autoSpaceDE w:val="0"/>
        <w:autoSpaceDN w:val="0"/>
        <w:adjustRightInd w:val="0"/>
        <w:spacing w:before="100" w:after="100" w:line="240" w:lineRule="auto"/>
        <w:rPr>
          <w:rFonts w:cs="Times New Roman"/>
          <w:szCs w:val="24"/>
        </w:rPr>
      </w:pPr>
      <w:r w:rsidRPr="001A2396">
        <w:rPr>
          <w:rFonts w:cs="Times New Roman"/>
          <w:szCs w:val="24"/>
        </w:rPr>
        <w:t xml:space="preserve">2. De acuerdo con el artículo 1 literal q) de la resolución, </w:t>
      </w:r>
      <w:proofErr w:type="gramStart"/>
      <w:r w:rsidRPr="001A2396">
        <w:rPr>
          <w:rFonts w:cs="Times New Roman"/>
          <w:szCs w:val="24"/>
        </w:rPr>
        <w:t>¿ se</w:t>
      </w:r>
      <w:proofErr w:type="gramEnd"/>
      <w:r w:rsidRPr="001A2396">
        <w:rPr>
          <w:rFonts w:cs="Times New Roman"/>
          <w:szCs w:val="24"/>
        </w:rPr>
        <w:t xml:space="preserve"> entiende que una cuenta financiera es toda participación que tiene un cliente de una Institución Financiera en el capital o deuda (distinto a participaciones que se negocian regularmente en un mercado de valores establecido) de dicha institución financiera? </w:t>
      </w:r>
      <w:r w:rsidRPr="001A2396">
        <w:rPr>
          <w:rFonts w:cs="Times New Roman"/>
          <w:i/>
          <w:iCs/>
          <w:szCs w:val="24"/>
        </w:rPr>
        <w:t>(sic)</w:t>
      </w:r>
    </w:p>
    <w:p w:rsidR="001A2396" w:rsidRDefault="001A2396" w:rsidP="001A2396">
      <w:pPr>
        <w:autoSpaceDE w:val="0"/>
        <w:autoSpaceDN w:val="0"/>
        <w:adjustRightInd w:val="0"/>
        <w:spacing w:before="100" w:after="100" w:line="240" w:lineRule="auto"/>
        <w:rPr>
          <w:rFonts w:cs="Times New Roman"/>
          <w:szCs w:val="24"/>
        </w:rPr>
      </w:pPr>
    </w:p>
    <w:p w:rsidR="001A2396" w:rsidRPr="001A2396" w:rsidRDefault="001A2396" w:rsidP="001A2396">
      <w:pPr>
        <w:autoSpaceDE w:val="0"/>
        <w:autoSpaceDN w:val="0"/>
        <w:adjustRightInd w:val="0"/>
        <w:spacing w:before="100" w:after="100" w:line="240" w:lineRule="auto"/>
        <w:rPr>
          <w:rFonts w:cs="Times New Roman"/>
          <w:szCs w:val="24"/>
        </w:rPr>
      </w:pPr>
      <w:r w:rsidRPr="001A2396">
        <w:rPr>
          <w:rFonts w:cs="Times New Roman"/>
          <w:szCs w:val="24"/>
        </w:rPr>
        <w:t>Respecto a este cuestionamiento, le manifestamos que la definición señalada en el literal q) del artículo 1º de la Resolución 060 de 2015, establece de manera taxativa e inequívoca lo que debe entenderse por cuenta financiera y sus exclusiones. Por lo tanto, lo invitamos a seguir el concepto expuesto a la luz de lo descrito en la norma.</w:t>
      </w:r>
    </w:p>
    <w:p w:rsidR="001A2396" w:rsidRDefault="001A2396" w:rsidP="001A2396">
      <w:pPr>
        <w:autoSpaceDE w:val="0"/>
        <w:autoSpaceDN w:val="0"/>
        <w:adjustRightInd w:val="0"/>
        <w:spacing w:before="100" w:after="100" w:line="240" w:lineRule="auto"/>
        <w:rPr>
          <w:rFonts w:cs="Times New Roman"/>
          <w:szCs w:val="24"/>
        </w:rPr>
      </w:pPr>
    </w:p>
    <w:p w:rsidR="001A2396" w:rsidRPr="001A2396" w:rsidRDefault="001A2396" w:rsidP="001A2396">
      <w:pPr>
        <w:autoSpaceDE w:val="0"/>
        <w:autoSpaceDN w:val="0"/>
        <w:adjustRightInd w:val="0"/>
        <w:spacing w:before="100" w:after="100" w:line="240" w:lineRule="auto"/>
        <w:rPr>
          <w:rFonts w:cs="Times New Roman"/>
          <w:szCs w:val="24"/>
        </w:rPr>
      </w:pPr>
      <w:r w:rsidRPr="001A2396">
        <w:rPr>
          <w:rFonts w:cs="Times New Roman"/>
          <w:szCs w:val="24"/>
        </w:rPr>
        <w:t xml:space="preserve">Sin embargo, es menester aclarar que dentro del contenido de la norma en mención, se prevé una calificación especial respecto de las cuentas financieras que se poseen en determinadas entidades financieras. V.gr. las cuentas financieras que se posen en </w:t>
      </w:r>
      <w:r w:rsidRPr="001A2396">
        <w:rPr>
          <w:rFonts w:cs="Times New Roman"/>
          <w:szCs w:val="24"/>
          <w:u w:val="single"/>
        </w:rPr>
        <w:t>entidades de inversión</w:t>
      </w:r>
      <w:r w:rsidRPr="001A2396">
        <w:rPr>
          <w:rFonts w:cs="Times New Roman"/>
          <w:szCs w:val="24"/>
        </w:rPr>
        <w:t xml:space="preserve"> que adquirieron la calificación de entidades financieras.</w:t>
      </w:r>
    </w:p>
    <w:p w:rsidR="001A2396" w:rsidRDefault="001A2396" w:rsidP="001A2396">
      <w:pPr>
        <w:autoSpaceDE w:val="0"/>
        <w:autoSpaceDN w:val="0"/>
        <w:adjustRightInd w:val="0"/>
        <w:spacing w:before="100" w:after="100" w:line="240" w:lineRule="auto"/>
        <w:rPr>
          <w:rFonts w:cs="Times New Roman"/>
          <w:szCs w:val="24"/>
        </w:rPr>
      </w:pPr>
    </w:p>
    <w:p w:rsidR="001A2396" w:rsidRPr="001A2396" w:rsidRDefault="001A2396" w:rsidP="001A2396">
      <w:pPr>
        <w:autoSpaceDE w:val="0"/>
        <w:autoSpaceDN w:val="0"/>
        <w:adjustRightInd w:val="0"/>
        <w:spacing w:before="100" w:after="100" w:line="240" w:lineRule="auto"/>
        <w:rPr>
          <w:rFonts w:cs="Times New Roman"/>
          <w:szCs w:val="24"/>
        </w:rPr>
      </w:pPr>
      <w:r w:rsidRPr="001A2396">
        <w:rPr>
          <w:rFonts w:cs="Times New Roman"/>
          <w:szCs w:val="24"/>
        </w:rPr>
        <w:t>3. ¿Qué se entiende por participación en la deuda de una Institución Financiera?</w:t>
      </w:r>
    </w:p>
    <w:p w:rsidR="001A2396" w:rsidRPr="001A2396" w:rsidRDefault="001A2396" w:rsidP="001A2396">
      <w:pPr>
        <w:autoSpaceDE w:val="0"/>
        <w:autoSpaceDN w:val="0"/>
        <w:adjustRightInd w:val="0"/>
        <w:spacing w:before="100" w:after="100" w:line="240" w:lineRule="auto"/>
        <w:rPr>
          <w:rFonts w:cs="Times New Roman"/>
          <w:szCs w:val="24"/>
        </w:rPr>
      </w:pPr>
      <w:r w:rsidRPr="001A2396">
        <w:rPr>
          <w:rFonts w:cs="Times New Roman"/>
          <w:szCs w:val="24"/>
        </w:rPr>
        <w:t>Al respecto, el concepto de “participación en la deuda” debe interpretarse como aquellos pasivos externos adquiridos por las entidades financieras “de inversión” en la que tenga participación el titular.</w:t>
      </w:r>
    </w:p>
    <w:p w:rsidR="001A2396" w:rsidRDefault="001A2396" w:rsidP="001A2396">
      <w:pPr>
        <w:autoSpaceDE w:val="0"/>
        <w:autoSpaceDN w:val="0"/>
        <w:adjustRightInd w:val="0"/>
        <w:spacing w:before="100" w:after="100" w:line="240" w:lineRule="auto"/>
        <w:rPr>
          <w:rFonts w:cs="Times New Roman"/>
          <w:szCs w:val="24"/>
        </w:rPr>
      </w:pPr>
    </w:p>
    <w:p w:rsidR="001A2396" w:rsidRPr="001A2396" w:rsidRDefault="001A2396" w:rsidP="001A2396">
      <w:pPr>
        <w:autoSpaceDE w:val="0"/>
        <w:autoSpaceDN w:val="0"/>
        <w:adjustRightInd w:val="0"/>
        <w:spacing w:before="100" w:after="100" w:line="240" w:lineRule="auto"/>
        <w:rPr>
          <w:rFonts w:cs="Times New Roman"/>
          <w:szCs w:val="24"/>
        </w:rPr>
      </w:pPr>
      <w:r w:rsidRPr="001A2396">
        <w:rPr>
          <w:rFonts w:cs="Times New Roman"/>
          <w:szCs w:val="24"/>
        </w:rPr>
        <w:t xml:space="preserve">4. ¿La expresión “cuenta financiera” incluye las cuentas de depósito y las cuentas de custodia? </w:t>
      </w:r>
      <w:r w:rsidRPr="001A2396">
        <w:rPr>
          <w:rFonts w:cs="Times New Roman"/>
          <w:i/>
          <w:iCs/>
          <w:szCs w:val="24"/>
        </w:rPr>
        <w:t>(sic)</w:t>
      </w:r>
    </w:p>
    <w:p w:rsidR="001A2396" w:rsidRDefault="001A2396" w:rsidP="001A2396">
      <w:pPr>
        <w:autoSpaceDE w:val="0"/>
        <w:autoSpaceDN w:val="0"/>
        <w:adjustRightInd w:val="0"/>
        <w:spacing w:before="100" w:after="100" w:line="240" w:lineRule="auto"/>
        <w:rPr>
          <w:rFonts w:cs="Times New Roman"/>
          <w:szCs w:val="24"/>
        </w:rPr>
      </w:pPr>
    </w:p>
    <w:p w:rsidR="001A2396" w:rsidRPr="001A2396" w:rsidRDefault="001A2396" w:rsidP="001A2396">
      <w:pPr>
        <w:autoSpaceDE w:val="0"/>
        <w:autoSpaceDN w:val="0"/>
        <w:adjustRightInd w:val="0"/>
        <w:spacing w:before="100" w:after="100" w:line="240" w:lineRule="auto"/>
        <w:rPr>
          <w:rFonts w:cs="Times New Roman"/>
          <w:szCs w:val="24"/>
        </w:rPr>
      </w:pPr>
      <w:r w:rsidRPr="001A2396">
        <w:rPr>
          <w:rFonts w:cs="Times New Roman"/>
          <w:szCs w:val="24"/>
        </w:rPr>
        <w:t>En atención a su inquietud, le manifestamos que estas expresiones deben entenderse como una cuenta financiera reportable, que la misma norma desarrolla de manera especial en su contenido señalando de cada uno la definición de los conceptos -Cuentas de depósito y cuentas de custodia- en los literales r) y s) del artículo 1° de la resolución ibídem que se mantienen en lo que se debe conocer como una institución financiera de acuerdo al literal g) del mismo artículo.</w:t>
      </w:r>
    </w:p>
    <w:p w:rsidR="001A2396" w:rsidRDefault="001A2396" w:rsidP="001A2396">
      <w:pPr>
        <w:autoSpaceDE w:val="0"/>
        <w:autoSpaceDN w:val="0"/>
        <w:adjustRightInd w:val="0"/>
        <w:spacing w:before="100" w:after="100" w:line="240" w:lineRule="auto"/>
        <w:rPr>
          <w:rFonts w:cs="Times New Roman"/>
          <w:szCs w:val="24"/>
        </w:rPr>
      </w:pPr>
    </w:p>
    <w:p w:rsidR="001A2396" w:rsidRPr="001A2396" w:rsidRDefault="001A2396" w:rsidP="001A2396">
      <w:pPr>
        <w:autoSpaceDE w:val="0"/>
        <w:autoSpaceDN w:val="0"/>
        <w:adjustRightInd w:val="0"/>
        <w:spacing w:before="100" w:after="100" w:line="240" w:lineRule="auto"/>
        <w:rPr>
          <w:rFonts w:cs="Times New Roman"/>
          <w:szCs w:val="24"/>
        </w:rPr>
      </w:pPr>
      <w:r w:rsidRPr="001A2396">
        <w:rPr>
          <w:rFonts w:cs="Times New Roman"/>
          <w:szCs w:val="24"/>
        </w:rPr>
        <w:t>Es decir, este tipo de cuentas deben ser reportadas a través del tratamiento exclusivo –para ese tipo de cuentas-, en virtud de lo desplegado por los literales e) y f) de la resolución ibídem.</w:t>
      </w:r>
    </w:p>
    <w:p w:rsidR="001A2396" w:rsidRDefault="001A2396" w:rsidP="001A2396">
      <w:pPr>
        <w:autoSpaceDE w:val="0"/>
        <w:autoSpaceDN w:val="0"/>
        <w:adjustRightInd w:val="0"/>
        <w:spacing w:before="100" w:after="100" w:line="240" w:lineRule="auto"/>
        <w:rPr>
          <w:rFonts w:cs="Times New Roman"/>
          <w:szCs w:val="24"/>
        </w:rPr>
      </w:pPr>
    </w:p>
    <w:p w:rsidR="001A2396" w:rsidRPr="001A2396" w:rsidRDefault="001A2396" w:rsidP="001A2396">
      <w:pPr>
        <w:autoSpaceDE w:val="0"/>
        <w:autoSpaceDN w:val="0"/>
        <w:adjustRightInd w:val="0"/>
        <w:spacing w:before="100" w:after="100" w:line="240" w:lineRule="auto"/>
        <w:rPr>
          <w:rFonts w:cs="Times New Roman"/>
          <w:szCs w:val="24"/>
        </w:rPr>
      </w:pPr>
      <w:r w:rsidRPr="001A2396">
        <w:rPr>
          <w:rFonts w:cs="Times New Roman"/>
          <w:szCs w:val="24"/>
        </w:rPr>
        <w:t>5. En los términos del literal f) del artículo 4.1 de la resolución, en los casos de una cuenta de Depósito se debe reportar "el monto bruto total de intereses pagados o acreditados en la cuenta durante el año calendario de reporte”. Para el caso de una cuenta de depósito ¿no se debe reportar el capital que hay depositada en la misma? (sic)</w:t>
      </w:r>
    </w:p>
    <w:p w:rsidR="001A2396" w:rsidRPr="001A2396" w:rsidRDefault="001A2396" w:rsidP="001A2396">
      <w:pPr>
        <w:autoSpaceDE w:val="0"/>
        <w:autoSpaceDN w:val="0"/>
        <w:adjustRightInd w:val="0"/>
        <w:spacing w:before="100" w:after="100" w:line="240" w:lineRule="auto"/>
        <w:rPr>
          <w:rFonts w:cs="Times New Roman"/>
          <w:szCs w:val="24"/>
        </w:rPr>
      </w:pPr>
      <w:r w:rsidRPr="001A2396">
        <w:rPr>
          <w:rFonts w:cs="Times New Roman"/>
          <w:szCs w:val="24"/>
        </w:rPr>
        <w:t>Respecto a esta inquietud, le recordamos que actualmente la información a reportar se encuentra enunciada de manera específica. Por lo tanto, se deberá cumplir únicamente con los conceptos solicitados para el acatamiento de la entrega de información. Sin menoscabo, de que por voluntad del obligado a informar se suministre la información.</w:t>
      </w:r>
    </w:p>
    <w:p w:rsidR="001A2396" w:rsidRDefault="001A2396" w:rsidP="001A2396">
      <w:pPr>
        <w:autoSpaceDE w:val="0"/>
        <w:autoSpaceDN w:val="0"/>
        <w:adjustRightInd w:val="0"/>
        <w:spacing w:before="100" w:after="100" w:line="240" w:lineRule="auto"/>
        <w:rPr>
          <w:rFonts w:cs="Times New Roman"/>
          <w:szCs w:val="24"/>
        </w:rPr>
      </w:pPr>
    </w:p>
    <w:p w:rsidR="001A2396" w:rsidRPr="001A2396" w:rsidRDefault="001A2396" w:rsidP="001A2396">
      <w:pPr>
        <w:autoSpaceDE w:val="0"/>
        <w:autoSpaceDN w:val="0"/>
        <w:adjustRightInd w:val="0"/>
        <w:spacing w:before="100" w:after="100" w:line="240" w:lineRule="auto"/>
        <w:rPr>
          <w:rFonts w:cs="Times New Roman"/>
          <w:szCs w:val="24"/>
        </w:rPr>
      </w:pPr>
      <w:r w:rsidRPr="001A2396">
        <w:rPr>
          <w:rFonts w:cs="Times New Roman"/>
          <w:szCs w:val="24"/>
        </w:rPr>
        <w:lastRenderedPageBreak/>
        <w:t>6. ¿Una participación que se negocia regularmente en un mercado de valores establecido es una cuenta financiera? (sic)</w:t>
      </w:r>
    </w:p>
    <w:p w:rsidR="001A2396" w:rsidRPr="001A2396" w:rsidRDefault="001A2396" w:rsidP="001A2396">
      <w:pPr>
        <w:autoSpaceDE w:val="0"/>
        <w:autoSpaceDN w:val="0"/>
        <w:adjustRightInd w:val="0"/>
        <w:spacing w:before="100" w:after="100" w:line="240" w:lineRule="auto"/>
        <w:rPr>
          <w:rFonts w:cs="Times New Roman"/>
          <w:szCs w:val="24"/>
        </w:rPr>
      </w:pPr>
      <w:r w:rsidRPr="001A2396">
        <w:rPr>
          <w:rFonts w:cs="Times New Roman"/>
          <w:szCs w:val="24"/>
        </w:rPr>
        <w:t>En atención a este interrogante, le manifestamos que el párrafo 2º del numeral 3° literal q) del artículo 1° de la resolución ibídem, resuelve el tema por el que Ud. indaga, señalando exclusivamente, que:</w:t>
      </w:r>
      <w:r w:rsidRPr="001A2396">
        <w:rPr>
          <w:rFonts w:cs="Times New Roman"/>
          <w:i/>
          <w:iCs/>
          <w:szCs w:val="24"/>
        </w:rPr>
        <w:t xml:space="preserve"> </w:t>
      </w:r>
      <w:r w:rsidRPr="001A2396">
        <w:rPr>
          <w:rFonts w:cs="Times New Roman"/>
          <w:szCs w:val="24"/>
        </w:rPr>
        <w:t xml:space="preserve">“Para efectos del literal q), una participación en una Institución Financiera no se “negocia regularmente”, y </w:t>
      </w:r>
      <w:r w:rsidRPr="001A2396">
        <w:rPr>
          <w:rFonts w:cs="Times New Roman"/>
          <w:szCs w:val="24"/>
          <w:u w:val="single"/>
        </w:rPr>
        <w:t>deberá ser tratada como una Cuenta Financiera si el titular de la participación (que no sea una Institución Financiera que actúa como intermediaria) se ha registrado en los libros de dicha Institución Financiera</w:t>
      </w:r>
      <w:r w:rsidRPr="001A2396">
        <w:rPr>
          <w:rFonts w:cs="Times New Roman"/>
          <w:szCs w:val="24"/>
        </w:rPr>
        <w:t>."</w:t>
      </w:r>
    </w:p>
    <w:p w:rsidR="001A2396" w:rsidRDefault="001A2396" w:rsidP="001A2396">
      <w:pPr>
        <w:autoSpaceDE w:val="0"/>
        <w:autoSpaceDN w:val="0"/>
        <w:adjustRightInd w:val="0"/>
        <w:spacing w:before="100" w:after="100" w:line="240" w:lineRule="auto"/>
        <w:rPr>
          <w:rFonts w:cs="Times New Roman"/>
          <w:szCs w:val="24"/>
        </w:rPr>
      </w:pPr>
    </w:p>
    <w:p w:rsidR="001A2396" w:rsidRPr="001A2396" w:rsidRDefault="001A2396" w:rsidP="001A2396">
      <w:pPr>
        <w:autoSpaceDE w:val="0"/>
        <w:autoSpaceDN w:val="0"/>
        <w:adjustRightInd w:val="0"/>
        <w:spacing w:before="100" w:after="100" w:line="240" w:lineRule="auto"/>
        <w:rPr>
          <w:rFonts w:cs="Times New Roman"/>
          <w:szCs w:val="24"/>
        </w:rPr>
      </w:pPr>
      <w:r w:rsidRPr="001A2396">
        <w:rPr>
          <w:rFonts w:cs="Times New Roman"/>
          <w:szCs w:val="24"/>
        </w:rPr>
        <w:t xml:space="preserve">Lo anterior significa, que será considerada una cuenta financiera la participación que se negocia regularmente en el mercado de valores cuando </w:t>
      </w:r>
      <w:r w:rsidRPr="001A2396">
        <w:rPr>
          <w:rFonts w:cs="Times New Roman"/>
          <w:szCs w:val="24"/>
          <w:u w:val="single"/>
        </w:rPr>
        <w:t>solamente</w:t>
      </w:r>
      <w:r w:rsidRPr="001A2396">
        <w:rPr>
          <w:rFonts w:cs="Times New Roman"/>
          <w:szCs w:val="24"/>
        </w:rPr>
        <w:t xml:space="preserve"> se cumplan los preceptos señalados en dicha resolución.</w:t>
      </w:r>
    </w:p>
    <w:p w:rsidR="001A2396" w:rsidRDefault="001A2396" w:rsidP="001A2396">
      <w:pPr>
        <w:autoSpaceDE w:val="0"/>
        <w:autoSpaceDN w:val="0"/>
        <w:adjustRightInd w:val="0"/>
        <w:spacing w:before="100" w:after="100" w:line="240" w:lineRule="auto"/>
        <w:rPr>
          <w:rFonts w:cs="Times New Roman"/>
          <w:szCs w:val="24"/>
        </w:rPr>
      </w:pPr>
    </w:p>
    <w:p w:rsidR="001A2396" w:rsidRPr="001A2396" w:rsidRDefault="001A2396" w:rsidP="001A2396">
      <w:pPr>
        <w:autoSpaceDE w:val="0"/>
        <w:autoSpaceDN w:val="0"/>
        <w:adjustRightInd w:val="0"/>
        <w:spacing w:before="100" w:after="100" w:line="240" w:lineRule="auto"/>
        <w:rPr>
          <w:rFonts w:cs="Times New Roman"/>
          <w:szCs w:val="24"/>
        </w:rPr>
      </w:pPr>
      <w:r w:rsidRPr="001A2396">
        <w:rPr>
          <w:rFonts w:cs="Times New Roman"/>
          <w:szCs w:val="24"/>
        </w:rPr>
        <w:t xml:space="preserve">7. ¿Es objeto de reporte una participación que se negocia regularmente en un mercado de valores establecido? </w:t>
      </w:r>
      <w:r w:rsidRPr="001A2396">
        <w:rPr>
          <w:rFonts w:cs="Times New Roman"/>
          <w:i/>
          <w:iCs/>
          <w:szCs w:val="24"/>
        </w:rPr>
        <w:t>(sic)</w:t>
      </w:r>
    </w:p>
    <w:p w:rsidR="001A2396" w:rsidRPr="001A2396" w:rsidRDefault="001A2396" w:rsidP="001A2396">
      <w:pPr>
        <w:autoSpaceDE w:val="0"/>
        <w:autoSpaceDN w:val="0"/>
        <w:adjustRightInd w:val="0"/>
        <w:spacing w:before="100" w:after="100" w:line="240" w:lineRule="auto"/>
        <w:rPr>
          <w:rFonts w:cs="Times New Roman"/>
          <w:szCs w:val="24"/>
        </w:rPr>
      </w:pPr>
      <w:r w:rsidRPr="001A2396">
        <w:rPr>
          <w:rFonts w:cs="Times New Roman"/>
          <w:szCs w:val="24"/>
        </w:rPr>
        <w:t xml:space="preserve">Al respecto, como bien lo prevé el literal q) numerales 1 y 2 del artículo 1º de la resolución ibídem, la participación que se negocia regularmente en un mercado de valores por una entidad que es una institución financiera porque es una entidad de inversión </w:t>
      </w:r>
      <w:r w:rsidRPr="001A2396">
        <w:rPr>
          <w:rFonts w:cs="Times New Roman"/>
          <w:szCs w:val="24"/>
          <w:u w:val="single"/>
        </w:rPr>
        <w:t>no</w:t>
      </w:r>
      <w:r w:rsidRPr="001A2396">
        <w:rPr>
          <w:rFonts w:cs="Times New Roman"/>
          <w:szCs w:val="24"/>
        </w:rPr>
        <w:t xml:space="preserve"> es considerada una cuenta financiera y por lo tanto no susceptible de reporte.</w:t>
      </w:r>
    </w:p>
    <w:p w:rsidR="001A2396" w:rsidRDefault="001A2396" w:rsidP="001A2396">
      <w:pPr>
        <w:autoSpaceDE w:val="0"/>
        <w:autoSpaceDN w:val="0"/>
        <w:adjustRightInd w:val="0"/>
        <w:spacing w:before="100" w:after="100" w:line="240" w:lineRule="auto"/>
        <w:rPr>
          <w:rFonts w:cs="Times New Roman"/>
          <w:szCs w:val="24"/>
        </w:rPr>
      </w:pPr>
    </w:p>
    <w:p w:rsidR="001A2396" w:rsidRPr="001A2396" w:rsidRDefault="001A2396" w:rsidP="001A2396">
      <w:pPr>
        <w:autoSpaceDE w:val="0"/>
        <w:autoSpaceDN w:val="0"/>
        <w:adjustRightInd w:val="0"/>
        <w:spacing w:before="100" w:after="100" w:line="240" w:lineRule="auto"/>
        <w:rPr>
          <w:rFonts w:cs="Times New Roman"/>
          <w:szCs w:val="24"/>
        </w:rPr>
      </w:pPr>
      <w:r w:rsidRPr="001A2396">
        <w:rPr>
          <w:rFonts w:cs="Times New Roman"/>
          <w:szCs w:val="24"/>
        </w:rPr>
        <w:t xml:space="preserve">8. ¿Qué información debe reportar cuando una entidad de inversión actúa como intermediaria del mercado cambiario, y compra divisas por cuenta de un cliente para ser giradas a un tercero? </w:t>
      </w:r>
      <w:r w:rsidRPr="001A2396">
        <w:rPr>
          <w:rFonts w:cs="Times New Roman"/>
          <w:i/>
          <w:iCs/>
          <w:szCs w:val="24"/>
        </w:rPr>
        <w:t>(sic)</w:t>
      </w:r>
    </w:p>
    <w:p w:rsidR="001A2396" w:rsidRDefault="001A2396" w:rsidP="001A2396">
      <w:pPr>
        <w:autoSpaceDE w:val="0"/>
        <w:autoSpaceDN w:val="0"/>
        <w:adjustRightInd w:val="0"/>
        <w:spacing w:before="100" w:after="100" w:line="240" w:lineRule="auto"/>
        <w:rPr>
          <w:rFonts w:cs="Times New Roman"/>
          <w:szCs w:val="24"/>
        </w:rPr>
      </w:pPr>
    </w:p>
    <w:p w:rsidR="001A2396" w:rsidRPr="001A2396" w:rsidRDefault="001A2396" w:rsidP="001A2396">
      <w:pPr>
        <w:autoSpaceDE w:val="0"/>
        <w:autoSpaceDN w:val="0"/>
        <w:adjustRightInd w:val="0"/>
        <w:spacing w:before="100" w:after="100" w:line="240" w:lineRule="auto"/>
        <w:rPr>
          <w:rFonts w:cs="Times New Roman"/>
          <w:szCs w:val="24"/>
        </w:rPr>
      </w:pPr>
      <w:r w:rsidRPr="001A2396">
        <w:rPr>
          <w:rFonts w:cs="Times New Roman"/>
          <w:szCs w:val="24"/>
        </w:rPr>
        <w:t xml:space="preserve">9. ¿Qué información se debe reportar cuando una entidad de inversión actúa como intermediaria del mercado cambiario, y recibe de un tercero divisas por cuenta de un cliente, las convierte a pesos por cuenta del cliente y las mantiene a título de tenencia y no se las paga al cliente? </w:t>
      </w:r>
      <w:r w:rsidRPr="001A2396">
        <w:rPr>
          <w:rFonts w:cs="Times New Roman"/>
          <w:i/>
          <w:iCs/>
          <w:szCs w:val="24"/>
        </w:rPr>
        <w:t>(sic)</w:t>
      </w:r>
    </w:p>
    <w:p w:rsidR="001A2396" w:rsidRDefault="001A2396" w:rsidP="001A2396">
      <w:pPr>
        <w:autoSpaceDE w:val="0"/>
        <w:autoSpaceDN w:val="0"/>
        <w:adjustRightInd w:val="0"/>
        <w:spacing w:before="100" w:after="100" w:line="240" w:lineRule="auto"/>
        <w:rPr>
          <w:rFonts w:cs="Times New Roman"/>
          <w:szCs w:val="24"/>
        </w:rPr>
      </w:pPr>
    </w:p>
    <w:p w:rsidR="001A2396" w:rsidRPr="001A2396" w:rsidRDefault="001A2396" w:rsidP="001A2396">
      <w:pPr>
        <w:autoSpaceDE w:val="0"/>
        <w:autoSpaceDN w:val="0"/>
        <w:adjustRightInd w:val="0"/>
        <w:spacing w:before="100" w:after="100" w:line="240" w:lineRule="auto"/>
        <w:rPr>
          <w:rFonts w:cs="Times New Roman"/>
          <w:szCs w:val="24"/>
        </w:rPr>
      </w:pPr>
      <w:r w:rsidRPr="001A2396">
        <w:rPr>
          <w:rFonts w:cs="Times New Roman"/>
          <w:szCs w:val="24"/>
        </w:rPr>
        <w:t xml:space="preserve">10. ¿Qué información se debe reportar cuando una entidad de inversión actúa como intermediaria del mercado cambiario, y recibe de un tercero divisas por cuenta de un cliente, las convierte a pesos por cuenta del cliente y se las paga? </w:t>
      </w:r>
      <w:r w:rsidRPr="001A2396">
        <w:rPr>
          <w:rFonts w:cs="Times New Roman"/>
          <w:i/>
          <w:iCs/>
          <w:szCs w:val="24"/>
        </w:rPr>
        <w:t>(sic)</w:t>
      </w:r>
    </w:p>
    <w:p w:rsidR="001A2396" w:rsidRDefault="001A2396" w:rsidP="001A2396">
      <w:pPr>
        <w:autoSpaceDE w:val="0"/>
        <w:autoSpaceDN w:val="0"/>
        <w:adjustRightInd w:val="0"/>
        <w:spacing w:before="100" w:after="100" w:line="240" w:lineRule="auto"/>
        <w:rPr>
          <w:rFonts w:cs="Times New Roman"/>
          <w:szCs w:val="24"/>
        </w:rPr>
      </w:pPr>
    </w:p>
    <w:p w:rsidR="001A2396" w:rsidRPr="001A2396" w:rsidRDefault="001A2396" w:rsidP="001A2396">
      <w:pPr>
        <w:autoSpaceDE w:val="0"/>
        <w:autoSpaceDN w:val="0"/>
        <w:adjustRightInd w:val="0"/>
        <w:spacing w:before="100" w:after="100" w:line="240" w:lineRule="auto"/>
        <w:rPr>
          <w:rFonts w:cs="Times New Roman"/>
          <w:szCs w:val="24"/>
        </w:rPr>
      </w:pPr>
      <w:r w:rsidRPr="001A2396">
        <w:rPr>
          <w:rFonts w:cs="Times New Roman"/>
          <w:szCs w:val="24"/>
        </w:rPr>
        <w:t>En atención a los anteriores interrogantes, le manifestamos que la entidad de inversión considerada institución financiera, obligada a suministrar información conforme a las normas vigentes; debe como intermediario del cuentahabiente, suministrar la información conforme al literal g) del artículo 4º de la resolución ibídem.</w:t>
      </w:r>
    </w:p>
    <w:p w:rsidR="001A2396" w:rsidRDefault="001A2396" w:rsidP="001A2396">
      <w:pPr>
        <w:autoSpaceDE w:val="0"/>
        <w:autoSpaceDN w:val="0"/>
        <w:adjustRightInd w:val="0"/>
        <w:spacing w:before="100" w:after="100" w:line="240" w:lineRule="auto"/>
        <w:rPr>
          <w:rFonts w:cs="Times New Roman"/>
          <w:szCs w:val="24"/>
        </w:rPr>
      </w:pPr>
    </w:p>
    <w:p w:rsidR="001A2396" w:rsidRPr="001A2396" w:rsidRDefault="001A2396" w:rsidP="001A2396">
      <w:pPr>
        <w:autoSpaceDE w:val="0"/>
        <w:autoSpaceDN w:val="0"/>
        <w:adjustRightInd w:val="0"/>
        <w:spacing w:before="100" w:after="100" w:line="240" w:lineRule="auto"/>
        <w:rPr>
          <w:rFonts w:cs="Times New Roman"/>
          <w:szCs w:val="24"/>
        </w:rPr>
      </w:pPr>
      <w:r w:rsidRPr="001A2396">
        <w:rPr>
          <w:rFonts w:cs="Times New Roman"/>
          <w:szCs w:val="24"/>
        </w:rPr>
        <w:t xml:space="preserve">11. El literal c) del numeral 2 del literal D del numeral V (cuentas excluidas de cuentas financieras) del anexo II señala que “los activos de la cuenta, incluidos los ingresos generados, serán pagados o distribuidos de otra manera para el beneficio del comprador, el </w:t>
      </w:r>
      <w:proofErr w:type="gramStart"/>
      <w:r w:rsidRPr="001A2396">
        <w:rPr>
          <w:rFonts w:cs="Times New Roman"/>
          <w:szCs w:val="24"/>
        </w:rPr>
        <w:t>vendedor ...</w:t>
      </w:r>
      <w:proofErr w:type="gramEnd"/>
      <w:r w:rsidRPr="001A2396">
        <w:rPr>
          <w:rFonts w:cs="Times New Roman"/>
          <w:szCs w:val="24"/>
        </w:rPr>
        <w:t xml:space="preserve">” ¿a qué se refiere la expresión “distribuidos de otra manera”? ¿Cuál es esa otra manera? </w:t>
      </w:r>
      <w:r w:rsidRPr="001A2396">
        <w:rPr>
          <w:rFonts w:cs="Times New Roman"/>
          <w:i/>
          <w:iCs/>
          <w:szCs w:val="24"/>
        </w:rPr>
        <w:t>(sic)</w:t>
      </w:r>
    </w:p>
    <w:p w:rsidR="001A2396" w:rsidRDefault="001A2396" w:rsidP="001A2396">
      <w:pPr>
        <w:autoSpaceDE w:val="0"/>
        <w:autoSpaceDN w:val="0"/>
        <w:adjustRightInd w:val="0"/>
        <w:spacing w:before="100" w:after="100" w:line="240" w:lineRule="auto"/>
        <w:rPr>
          <w:rFonts w:cs="Times New Roman"/>
          <w:szCs w:val="24"/>
        </w:rPr>
      </w:pPr>
    </w:p>
    <w:p w:rsidR="001A2396" w:rsidRPr="001A2396" w:rsidRDefault="001A2396" w:rsidP="001A2396">
      <w:pPr>
        <w:autoSpaceDE w:val="0"/>
        <w:autoSpaceDN w:val="0"/>
        <w:adjustRightInd w:val="0"/>
        <w:spacing w:before="100" w:after="100" w:line="240" w:lineRule="auto"/>
        <w:rPr>
          <w:rFonts w:cs="Times New Roman"/>
          <w:szCs w:val="24"/>
        </w:rPr>
      </w:pPr>
      <w:r w:rsidRPr="001A2396">
        <w:rPr>
          <w:rFonts w:cs="Times New Roman"/>
          <w:szCs w:val="24"/>
        </w:rPr>
        <w:t>Sobre el particular, de antemano le manifestamos que para ser excluida las cuentas de garantía del numeral 2º del anexo II, se deben cumplir en su totalidad los presupuestos señalados en la norma. Ahora bien, el término "distribuidos de otra manera” hace referencia a los distintos modos de extinguir la obligación diferente al pago. V.gr. novación o compensación.</w:t>
      </w:r>
    </w:p>
    <w:p w:rsidR="001A2396" w:rsidRDefault="001A2396" w:rsidP="001A2396">
      <w:pPr>
        <w:autoSpaceDE w:val="0"/>
        <w:autoSpaceDN w:val="0"/>
        <w:adjustRightInd w:val="0"/>
        <w:spacing w:before="100" w:after="100" w:line="240" w:lineRule="auto"/>
        <w:rPr>
          <w:rFonts w:cs="Times New Roman"/>
          <w:szCs w:val="24"/>
        </w:rPr>
      </w:pPr>
    </w:p>
    <w:p w:rsidR="001A2396" w:rsidRPr="001A2396" w:rsidRDefault="001A2396" w:rsidP="001A2396">
      <w:pPr>
        <w:autoSpaceDE w:val="0"/>
        <w:autoSpaceDN w:val="0"/>
        <w:adjustRightInd w:val="0"/>
        <w:spacing w:before="100" w:after="100" w:line="240" w:lineRule="auto"/>
        <w:rPr>
          <w:rFonts w:cs="Times New Roman"/>
          <w:szCs w:val="24"/>
        </w:rPr>
      </w:pPr>
      <w:r w:rsidRPr="001A2396">
        <w:rPr>
          <w:rFonts w:cs="Times New Roman"/>
          <w:szCs w:val="24"/>
        </w:rPr>
        <w:t xml:space="preserve">12. Cuando una entidad de inversión actúa como intermediaria del mercado cambiario y compra o vende divisas por cuenta de un cliente, ¿los pagos derivados de dicha operación se deben reportar como “FATCA501” (dividendos), FATCA502 (intereses) “FATCA503” (ganancias brutas/redenciones) o FATCA504 (otros-FATCA)? Lo anterior de conformidad con lo señalado en el numeral IV b. </w:t>
      </w:r>
      <w:proofErr w:type="spellStart"/>
      <w:r w:rsidRPr="001A2396">
        <w:rPr>
          <w:rFonts w:cs="Times New Roman"/>
          <w:szCs w:val="24"/>
        </w:rPr>
        <w:t>Account</w:t>
      </w:r>
      <w:proofErr w:type="spellEnd"/>
      <w:r w:rsidRPr="001A2396">
        <w:rPr>
          <w:rFonts w:cs="Times New Roman"/>
          <w:szCs w:val="24"/>
        </w:rPr>
        <w:t xml:space="preserve"> </w:t>
      </w:r>
      <w:proofErr w:type="spellStart"/>
      <w:r w:rsidRPr="001A2396">
        <w:rPr>
          <w:rFonts w:cs="Times New Roman"/>
          <w:szCs w:val="24"/>
        </w:rPr>
        <w:t>report</w:t>
      </w:r>
      <w:proofErr w:type="spellEnd"/>
      <w:r w:rsidRPr="001A2396">
        <w:rPr>
          <w:rFonts w:cs="Times New Roman"/>
          <w:szCs w:val="24"/>
        </w:rPr>
        <w:t xml:space="preserve"> en la hoja 14 del anexo III de la resolución. </w:t>
      </w:r>
      <w:r w:rsidRPr="001A2396">
        <w:rPr>
          <w:rFonts w:cs="Times New Roman"/>
          <w:i/>
          <w:iCs/>
          <w:szCs w:val="24"/>
        </w:rPr>
        <w:t>(</w:t>
      </w:r>
      <w:proofErr w:type="gramStart"/>
      <w:r w:rsidRPr="001A2396">
        <w:rPr>
          <w:rFonts w:cs="Times New Roman"/>
          <w:i/>
          <w:iCs/>
          <w:szCs w:val="24"/>
        </w:rPr>
        <w:t>sic</w:t>
      </w:r>
      <w:proofErr w:type="gramEnd"/>
      <w:r w:rsidRPr="001A2396">
        <w:rPr>
          <w:rFonts w:cs="Times New Roman"/>
          <w:i/>
          <w:iCs/>
          <w:szCs w:val="24"/>
        </w:rPr>
        <w:t>)</w:t>
      </w:r>
    </w:p>
    <w:p w:rsidR="001A2396" w:rsidRDefault="001A2396" w:rsidP="001A2396">
      <w:pPr>
        <w:autoSpaceDE w:val="0"/>
        <w:autoSpaceDN w:val="0"/>
        <w:adjustRightInd w:val="0"/>
        <w:spacing w:before="100" w:after="100" w:line="240" w:lineRule="auto"/>
        <w:rPr>
          <w:rFonts w:cs="Times New Roman"/>
          <w:szCs w:val="24"/>
        </w:rPr>
      </w:pPr>
    </w:p>
    <w:p w:rsidR="001A2396" w:rsidRPr="001A2396" w:rsidRDefault="001A2396" w:rsidP="001A2396">
      <w:pPr>
        <w:autoSpaceDE w:val="0"/>
        <w:autoSpaceDN w:val="0"/>
        <w:adjustRightInd w:val="0"/>
        <w:spacing w:before="100" w:after="100" w:line="240" w:lineRule="auto"/>
        <w:rPr>
          <w:rFonts w:cs="Times New Roman"/>
          <w:szCs w:val="24"/>
        </w:rPr>
      </w:pPr>
      <w:r w:rsidRPr="001A2396">
        <w:rPr>
          <w:rFonts w:cs="Times New Roman"/>
          <w:szCs w:val="24"/>
        </w:rPr>
        <w:t>Al respecto, le manifestamos que la calificación de FATCA para reportar la información objeto de consulta, depende de supuestos adicionales de la operación como plazos o vigencia del negocio acordado.</w:t>
      </w:r>
    </w:p>
    <w:p w:rsidR="001A2396" w:rsidRDefault="001A2396" w:rsidP="001A2396">
      <w:pPr>
        <w:autoSpaceDE w:val="0"/>
        <w:autoSpaceDN w:val="0"/>
        <w:adjustRightInd w:val="0"/>
        <w:spacing w:before="100" w:after="100" w:line="240" w:lineRule="auto"/>
        <w:rPr>
          <w:rFonts w:cs="Times New Roman"/>
          <w:szCs w:val="24"/>
        </w:rPr>
      </w:pPr>
    </w:p>
    <w:p w:rsidR="001A2396" w:rsidRPr="001A2396" w:rsidRDefault="001A2396" w:rsidP="001A2396">
      <w:pPr>
        <w:autoSpaceDE w:val="0"/>
        <w:autoSpaceDN w:val="0"/>
        <w:adjustRightInd w:val="0"/>
        <w:spacing w:before="100" w:after="100" w:line="240" w:lineRule="auto"/>
        <w:rPr>
          <w:rFonts w:cs="Times New Roman"/>
          <w:szCs w:val="24"/>
        </w:rPr>
      </w:pPr>
      <w:r w:rsidRPr="001A2396">
        <w:rPr>
          <w:rFonts w:cs="Times New Roman"/>
          <w:szCs w:val="24"/>
        </w:rPr>
        <w:t>En suma, este despacho se permite recordar que deberá examinarse para cada caso en concreto el tratamiento que se le debe dar al tipo de información en aras de cumplir de manera adecuada con el reporte, estudiando la naturaleza y tipo de la operación entre otras.</w:t>
      </w:r>
    </w:p>
    <w:p w:rsidR="001A2396" w:rsidRPr="001A2396" w:rsidRDefault="001A2396" w:rsidP="001A2396">
      <w:pPr>
        <w:autoSpaceDE w:val="0"/>
        <w:autoSpaceDN w:val="0"/>
        <w:adjustRightInd w:val="0"/>
        <w:spacing w:before="100" w:after="100" w:line="240" w:lineRule="auto"/>
        <w:rPr>
          <w:rFonts w:cs="Times New Roman"/>
          <w:szCs w:val="24"/>
        </w:rPr>
      </w:pPr>
      <w:r w:rsidRPr="001A2396">
        <w:rPr>
          <w:rFonts w:cs="Times New Roman"/>
          <w:szCs w:val="24"/>
        </w:rPr>
        <w:t>Atentamente,</w:t>
      </w:r>
    </w:p>
    <w:p w:rsidR="001A2396" w:rsidRPr="001A2396" w:rsidRDefault="001A2396" w:rsidP="001A2396">
      <w:pPr>
        <w:autoSpaceDE w:val="0"/>
        <w:autoSpaceDN w:val="0"/>
        <w:adjustRightInd w:val="0"/>
        <w:spacing w:before="100" w:after="100" w:line="240" w:lineRule="auto"/>
        <w:rPr>
          <w:rFonts w:cs="Times New Roman"/>
          <w:szCs w:val="24"/>
        </w:rPr>
      </w:pPr>
      <w:r w:rsidRPr="001A2396">
        <w:rPr>
          <w:rFonts w:cs="Times New Roman"/>
          <w:b/>
          <w:bCs/>
          <w:szCs w:val="24"/>
        </w:rPr>
        <w:t>LILIANA ANDREA FORERO GÓMEZ</w:t>
      </w:r>
    </w:p>
    <w:p w:rsidR="001A2396" w:rsidRPr="001A2396" w:rsidRDefault="001A2396" w:rsidP="001A2396">
      <w:pPr>
        <w:autoSpaceDE w:val="0"/>
        <w:autoSpaceDN w:val="0"/>
        <w:adjustRightInd w:val="0"/>
        <w:spacing w:before="100" w:after="100" w:line="240" w:lineRule="auto"/>
        <w:rPr>
          <w:rFonts w:cs="Times New Roman"/>
          <w:szCs w:val="24"/>
        </w:rPr>
      </w:pPr>
      <w:r w:rsidRPr="001A2396">
        <w:rPr>
          <w:rFonts w:cs="Times New Roman"/>
          <w:szCs w:val="24"/>
        </w:rPr>
        <w:t>Directora de Gestión Jurídica</w:t>
      </w:r>
    </w:p>
    <w:p w:rsidR="00961BFA" w:rsidRDefault="00961BFA" w:rsidP="001A2396"/>
    <w:sectPr w:rsidR="00961BFA" w:rsidSect="00FF4E2C">
      <w:pgSz w:w="11906" w:h="16838"/>
      <w:pgMar w:top="1417" w:right="1273" w:bottom="1134"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396"/>
    <w:rsid w:val="001A2396"/>
    <w:rsid w:val="0029351E"/>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244BA-5FF0-4C5C-B8A2-7053587A6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99"/>
    <w:qFormat/>
    <w:rsid w:val="001A2396"/>
    <w:rPr>
      <w:i/>
      <w:iCs/>
    </w:rPr>
  </w:style>
  <w:style w:type="character" w:styleId="Hipervnculo">
    <w:name w:val="Hyperlink"/>
    <w:basedOn w:val="Fuentedeprrafopredeter"/>
    <w:uiPriority w:val="99"/>
    <w:rsid w:val="001A2396"/>
    <w:rPr>
      <w:color w:val="0000FF"/>
      <w:u w:val="single"/>
    </w:rPr>
  </w:style>
  <w:style w:type="character" w:styleId="Textoennegrita">
    <w:name w:val="Strong"/>
    <w:basedOn w:val="Fuentedeprrafopredeter"/>
    <w:uiPriority w:val="99"/>
    <w:qFormat/>
    <w:rsid w:val="001A23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rcedes.castiblanco@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1327</Words>
  <Characters>7302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2016-09-17T02:51:00Z</dcterms:created>
  <dcterms:modified xsi:type="dcterms:W3CDTF">2016-09-17T02:54:00Z</dcterms:modified>
</cp:coreProperties>
</file>